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0C" w:rsidRPr="00A86A58" w:rsidRDefault="00A2260C" w:rsidP="00A2260C">
      <w:pPr>
        <w:jc w:val="center"/>
        <w:rPr>
          <w:szCs w:val="25"/>
        </w:rPr>
      </w:pPr>
      <w:bookmarkStart w:id="0" w:name="_GoBack"/>
      <w:bookmarkEnd w:id="0"/>
      <w:r w:rsidRPr="00A86A58">
        <w:rPr>
          <w:szCs w:val="25"/>
        </w:rPr>
        <w:t>American Bar Association Forum on the Construction Industry</w:t>
      </w:r>
    </w:p>
    <w:p w:rsidR="00A2260C" w:rsidRPr="00A86A58" w:rsidRDefault="00A2260C" w:rsidP="00A2260C">
      <w:pPr>
        <w:jc w:val="center"/>
        <w:rPr>
          <w:szCs w:val="25"/>
        </w:rPr>
      </w:pPr>
      <w:r w:rsidRPr="00A86A58">
        <w:rPr>
          <w:szCs w:val="25"/>
        </w:rPr>
        <w:t>2012 Fall Meeting</w:t>
      </w:r>
    </w:p>
    <w:p w:rsidR="00A2260C" w:rsidRPr="00A86A58" w:rsidRDefault="00A2260C" w:rsidP="00A2260C">
      <w:pPr>
        <w:jc w:val="center"/>
        <w:rPr>
          <w:szCs w:val="25"/>
        </w:rPr>
      </w:pPr>
    </w:p>
    <w:p w:rsidR="00A2260C" w:rsidRPr="00A86A58" w:rsidRDefault="00A2260C" w:rsidP="00A2260C">
      <w:pPr>
        <w:jc w:val="center"/>
        <w:rPr>
          <w:szCs w:val="25"/>
        </w:rPr>
      </w:pPr>
      <w:r w:rsidRPr="00A86A58">
        <w:rPr>
          <w:szCs w:val="25"/>
        </w:rPr>
        <w:t>CONSTRUCTION COUNSELING</w:t>
      </w:r>
    </w:p>
    <w:p w:rsidR="00A2260C" w:rsidRPr="00A86A58" w:rsidRDefault="00A2260C" w:rsidP="00A2260C">
      <w:pPr>
        <w:jc w:val="center"/>
        <w:rPr>
          <w:szCs w:val="25"/>
        </w:rPr>
      </w:pPr>
      <w:r w:rsidRPr="00A86A58">
        <w:rPr>
          <w:szCs w:val="25"/>
        </w:rPr>
        <w:t>Pulling together for a Winning Strategy</w:t>
      </w:r>
    </w:p>
    <w:p w:rsidR="00A2260C" w:rsidRPr="00A86A58" w:rsidRDefault="00A2260C" w:rsidP="00A2260C">
      <w:pPr>
        <w:jc w:val="center"/>
        <w:rPr>
          <w:szCs w:val="25"/>
        </w:rPr>
      </w:pPr>
    </w:p>
    <w:p w:rsidR="00A2260C" w:rsidRPr="00A86A58" w:rsidRDefault="00A2260C" w:rsidP="00A2260C">
      <w:pPr>
        <w:jc w:val="center"/>
        <w:rPr>
          <w:b/>
          <w:szCs w:val="25"/>
        </w:rPr>
      </w:pPr>
      <w:r w:rsidRPr="00A86A58">
        <w:rPr>
          <w:b/>
          <w:szCs w:val="25"/>
        </w:rPr>
        <w:t>CONSTRUCTION LAW PROGRAM FOR STATE AND LOCAL GOVERNMENT</w:t>
      </w:r>
    </w:p>
    <w:p w:rsidR="00A2260C" w:rsidRPr="00A86A58" w:rsidRDefault="00A2260C" w:rsidP="00A2260C">
      <w:pPr>
        <w:jc w:val="center"/>
        <w:rPr>
          <w:b/>
          <w:szCs w:val="25"/>
        </w:rPr>
      </w:pPr>
      <w:r w:rsidRPr="00A86A58">
        <w:rPr>
          <w:b/>
          <w:szCs w:val="25"/>
        </w:rPr>
        <w:t>ATTORNEYS AND UNIVERSITY COUNSEL</w:t>
      </w:r>
    </w:p>
    <w:p w:rsidR="00A2260C" w:rsidRPr="00A86A58" w:rsidRDefault="00A2260C" w:rsidP="00A2260C">
      <w:pPr>
        <w:rPr>
          <w:szCs w:val="25"/>
        </w:rPr>
      </w:pPr>
    </w:p>
    <w:p w:rsidR="00A2260C" w:rsidRDefault="00A2260C" w:rsidP="00A2260C">
      <w:pPr>
        <w:pStyle w:val="Body"/>
        <w:ind w:firstLine="0"/>
        <w:jc w:val="center"/>
        <w:rPr>
          <w:i/>
          <w:szCs w:val="25"/>
        </w:rPr>
      </w:pPr>
      <w:r w:rsidRPr="00A86A58">
        <w:rPr>
          <w:i/>
          <w:szCs w:val="25"/>
        </w:rPr>
        <w:t xml:space="preserve">Segment </w:t>
      </w:r>
      <w:r>
        <w:rPr>
          <w:i/>
          <w:szCs w:val="25"/>
        </w:rPr>
        <w:t>1</w:t>
      </w:r>
      <w:r w:rsidRPr="00A86A58">
        <w:rPr>
          <w:i/>
          <w:szCs w:val="25"/>
        </w:rPr>
        <w:t>—</w:t>
      </w:r>
      <w:r>
        <w:rPr>
          <w:i/>
          <w:szCs w:val="25"/>
        </w:rPr>
        <w:t>Project Delivery/Form of Agreement</w:t>
      </w:r>
    </w:p>
    <w:p w:rsidR="00C8533D" w:rsidRDefault="00C8533D" w:rsidP="00C8533D">
      <w:pPr>
        <w:pStyle w:val="Body"/>
        <w:spacing w:after="0"/>
        <w:ind w:firstLine="0"/>
        <w:jc w:val="center"/>
        <w:rPr>
          <w:szCs w:val="25"/>
        </w:rPr>
      </w:pPr>
      <w:r>
        <w:rPr>
          <w:szCs w:val="25"/>
        </w:rPr>
        <w:t xml:space="preserve">Kristine A. </w:t>
      </w:r>
      <w:proofErr w:type="spellStart"/>
      <w:r>
        <w:rPr>
          <w:szCs w:val="25"/>
        </w:rPr>
        <w:t>Kubes</w:t>
      </w:r>
      <w:proofErr w:type="spellEnd"/>
      <w:r>
        <w:rPr>
          <w:szCs w:val="25"/>
        </w:rPr>
        <w:t xml:space="preserve">, </w:t>
      </w:r>
      <w:proofErr w:type="spellStart"/>
      <w:r w:rsidRPr="00C8533D">
        <w:rPr>
          <w:szCs w:val="25"/>
        </w:rPr>
        <w:t>Kubes</w:t>
      </w:r>
      <w:proofErr w:type="spellEnd"/>
      <w:r w:rsidRPr="00C8533D">
        <w:rPr>
          <w:szCs w:val="25"/>
        </w:rPr>
        <w:t xml:space="preserve"> Law Office, PLLC</w:t>
      </w:r>
    </w:p>
    <w:p w:rsidR="00C8533D" w:rsidRPr="00C8533D" w:rsidRDefault="00C8533D" w:rsidP="00C8533D">
      <w:pPr>
        <w:pStyle w:val="Body"/>
        <w:spacing w:after="0"/>
        <w:ind w:firstLine="0"/>
        <w:jc w:val="center"/>
        <w:rPr>
          <w:szCs w:val="25"/>
        </w:rPr>
      </w:pPr>
      <w:r>
        <w:rPr>
          <w:szCs w:val="25"/>
        </w:rPr>
        <w:t xml:space="preserve">Suzanne M. </w:t>
      </w:r>
      <w:proofErr w:type="spellStart"/>
      <w:r>
        <w:rPr>
          <w:szCs w:val="25"/>
        </w:rPr>
        <w:t>McSorley</w:t>
      </w:r>
      <w:proofErr w:type="spellEnd"/>
      <w:r>
        <w:rPr>
          <w:szCs w:val="25"/>
        </w:rPr>
        <w:t>, Stevens &amp; Lee, PA</w:t>
      </w:r>
    </w:p>
    <w:p w:rsidR="00A2260C" w:rsidRDefault="00A2260C" w:rsidP="00406F45">
      <w:pPr>
        <w:rPr>
          <w:b/>
        </w:rPr>
      </w:pPr>
    </w:p>
    <w:p w:rsidR="00A2260C" w:rsidRDefault="00A2260C" w:rsidP="00C8511B">
      <w:pPr>
        <w:pStyle w:val="Heading1"/>
      </w:pPr>
      <w:r>
        <w:t>First Principle</w:t>
      </w:r>
      <w:r w:rsidR="00C8511B">
        <w:t>s</w:t>
      </w:r>
    </w:p>
    <w:p w:rsidR="00406F45" w:rsidRPr="00136E56" w:rsidRDefault="00406F45" w:rsidP="00C8511B">
      <w:pPr>
        <w:pStyle w:val="Heading2"/>
      </w:pPr>
      <w:r w:rsidRPr="00136E56">
        <w:t>Communications</w:t>
      </w:r>
    </w:p>
    <w:p w:rsidR="00406F45" w:rsidRPr="00C75621" w:rsidRDefault="00406F45" w:rsidP="00654D10">
      <w:pPr>
        <w:pStyle w:val="Heading3"/>
      </w:pPr>
      <w:r>
        <w:t>I</w:t>
      </w:r>
      <w:r w:rsidRPr="00C75621">
        <w:t>mportance of open communications among all players during the entire design and construction process</w:t>
      </w:r>
    </w:p>
    <w:p w:rsidR="00406F45" w:rsidRDefault="00406F45" w:rsidP="00654D10">
      <w:pPr>
        <w:pStyle w:val="Heading3"/>
      </w:pPr>
      <w:r>
        <w:t>I</w:t>
      </w:r>
      <w:r w:rsidRPr="00C75621">
        <w:t>mpact of open communications on</w:t>
      </w:r>
      <w:r>
        <w:t>:</w:t>
      </w:r>
      <w:r w:rsidRPr="00C75621">
        <w:t xml:space="preserve"> </w:t>
      </w:r>
    </w:p>
    <w:p w:rsidR="00A2260C" w:rsidRDefault="00A2260C" w:rsidP="00654D10">
      <w:pPr>
        <w:pStyle w:val="Heading4"/>
      </w:pPr>
      <w:r>
        <w:t>Change control</w:t>
      </w:r>
    </w:p>
    <w:p w:rsidR="00406F45" w:rsidRDefault="00406F45" w:rsidP="00654D10">
      <w:pPr>
        <w:pStyle w:val="Heading4"/>
      </w:pPr>
      <w:r>
        <w:t>C</w:t>
      </w:r>
      <w:r w:rsidRPr="00C75621">
        <w:t>ost control</w:t>
      </w:r>
    </w:p>
    <w:p w:rsidR="00406F45" w:rsidRDefault="00406F45" w:rsidP="00654D10">
      <w:pPr>
        <w:pStyle w:val="Heading4"/>
      </w:pPr>
      <w:r>
        <w:t>D</w:t>
      </w:r>
      <w:r w:rsidRPr="00C75621">
        <w:t>elay control</w:t>
      </w:r>
    </w:p>
    <w:p w:rsidR="00406F45" w:rsidRPr="00C75621" w:rsidRDefault="00406F45" w:rsidP="00654D10">
      <w:pPr>
        <w:pStyle w:val="Heading4"/>
      </w:pPr>
      <w:r>
        <w:t>D</w:t>
      </w:r>
      <w:r w:rsidRPr="00C75621">
        <w:t>ispute control</w:t>
      </w:r>
    </w:p>
    <w:p w:rsidR="00406F45" w:rsidRDefault="00406F45" w:rsidP="00654D10">
      <w:pPr>
        <w:pStyle w:val="Heading3"/>
      </w:pPr>
      <w:r>
        <w:t>F</w:t>
      </w:r>
      <w:r w:rsidRPr="00C75621">
        <w:t>ormal structures to aid communications</w:t>
      </w:r>
    </w:p>
    <w:p w:rsidR="00406F45" w:rsidRDefault="00406F45" w:rsidP="00654D10">
      <w:pPr>
        <w:pStyle w:val="Heading4"/>
      </w:pPr>
      <w:r>
        <w:t>Partnering</w:t>
      </w:r>
    </w:p>
    <w:p w:rsidR="00406F45" w:rsidRDefault="00406F45" w:rsidP="00654D10">
      <w:pPr>
        <w:pStyle w:val="Heading4"/>
      </w:pPr>
      <w:r>
        <w:t xml:space="preserve">Big room </w:t>
      </w:r>
    </w:p>
    <w:p w:rsidR="00406F45" w:rsidRDefault="00406F45" w:rsidP="00654D10">
      <w:pPr>
        <w:pStyle w:val="Heading4"/>
      </w:pPr>
      <w:r>
        <w:t>DRB</w:t>
      </w:r>
    </w:p>
    <w:p w:rsidR="00A2260C" w:rsidRDefault="00A2260C" w:rsidP="00C8511B">
      <w:pPr>
        <w:pStyle w:val="Heading2"/>
      </w:pPr>
      <w:r>
        <w:t>Selection of Project Delivery Method</w:t>
      </w:r>
    </w:p>
    <w:p w:rsidR="00A2260C" w:rsidRDefault="00A2260C" w:rsidP="00654D10">
      <w:pPr>
        <w:pStyle w:val="Heading3"/>
      </w:pPr>
      <w:r>
        <w:t xml:space="preserve">Project Delivery method may be limited by statute.  For example, </w:t>
      </w:r>
      <w:r w:rsidR="00D27BE7">
        <w:t xml:space="preserve">in </w:t>
      </w:r>
      <w:r>
        <w:t>Pennsylvania</w:t>
      </w:r>
      <w:r w:rsidR="00D27BE7">
        <w:t>,</w:t>
      </w:r>
      <w:r>
        <w:t xml:space="preserve"> in general</w:t>
      </w:r>
      <w:r w:rsidR="00D27BE7">
        <w:t>,</w:t>
      </w:r>
      <w:r>
        <w:t xml:space="preserve"> </w:t>
      </w:r>
      <w:proofErr w:type="gramStart"/>
      <w:r>
        <w:t>publicly-funded</w:t>
      </w:r>
      <w:proofErr w:type="gramEnd"/>
      <w:r>
        <w:t xml:space="preserve"> projects must be performed on a multiple prime basis.  </w:t>
      </w:r>
      <w:r w:rsidR="00D27BE7">
        <w:t>Similar statutes are in place in New Jersey, New York, Ohio, Wisconsin.</w:t>
      </w:r>
    </w:p>
    <w:p w:rsidR="00A2260C" w:rsidRDefault="00A2260C" w:rsidP="00654D10">
      <w:pPr>
        <w:pStyle w:val="Heading3"/>
      </w:pPr>
      <w:r>
        <w:lastRenderedPageBreak/>
        <w:t xml:space="preserve">Different project delivery systems tend to maximize different areas of owner concern with regard to </w:t>
      </w:r>
    </w:p>
    <w:p w:rsidR="00A2260C" w:rsidRDefault="00A2260C" w:rsidP="00654D10">
      <w:pPr>
        <w:pStyle w:val="Heading4"/>
      </w:pPr>
      <w:proofErr w:type="gramStart"/>
      <w:r>
        <w:t>cost</w:t>
      </w:r>
      <w:proofErr w:type="gramEnd"/>
      <w:r>
        <w:t xml:space="preserve"> </w:t>
      </w:r>
      <w:r w:rsidR="009C51D6">
        <w:t>/cost predictability</w:t>
      </w:r>
    </w:p>
    <w:p w:rsidR="009C51D6" w:rsidRDefault="009C51D6" w:rsidP="00654D10">
      <w:pPr>
        <w:pStyle w:val="Heading4"/>
      </w:pPr>
      <w:proofErr w:type="gramStart"/>
      <w:r>
        <w:t>time</w:t>
      </w:r>
      <w:proofErr w:type="gramEnd"/>
    </w:p>
    <w:p w:rsidR="009C51D6" w:rsidRDefault="009C51D6" w:rsidP="00654D10">
      <w:pPr>
        <w:pStyle w:val="Heading4"/>
      </w:pPr>
      <w:proofErr w:type="gramStart"/>
      <w:r>
        <w:t>design</w:t>
      </w:r>
      <w:proofErr w:type="gramEnd"/>
      <w:r>
        <w:t xml:space="preserve"> quality</w:t>
      </w:r>
    </w:p>
    <w:p w:rsidR="009C51D6" w:rsidRDefault="009C51D6" w:rsidP="00654D10">
      <w:pPr>
        <w:pStyle w:val="Heading4"/>
      </w:pPr>
      <w:proofErr w:type="gramStart"/>
      <w:r>
        <w:t>claims</w:t>
      </w:r>
      <w:proofErr w:type="gramEnd"/>
      <w:r>
        <w:t>/dispute frequency</w:t>
      </w:r>
    </w:p>
    <w:p w:rsidR="009C51D6" w:rsidRDefault="009C51D6" w:rsidP="00654D10">
      <w:pPr>
        <w:pStyle w:val="Heading4"/>
      </w:pPr>
      <w:proofErr w:type="gramStart"/>
      <w:r>
        <w:t>other</w:t>
      </w:r>
      <w:proofErr w:type="gramEnd"/>
      <w:r>
        <w:t xml:space="preserve"> concerns including safety, minimizing the administrative burden on Owner personnel</w:t>
      </w:r>
    </w:p>
    <w:p w:rsidR="009C51D6" w:rsidRDefault="00A2260C" w:rsidP="00654D10">
      <w:pPr>
        <w:pStyle w:val="Heading3"/>
      </w:pPr>
      <w:r>
        <w:t xml:space="preserve">Subject to </w:t>
      </w:r>
      <w:r w:rsidR="009C51D6">
        <w:t>the statutory limitations in some jurisdictions regarding permissible project delivery methods, most common methods are:</w:t>
      </w:r>
    </w:p>
    <w:p w:rsidR="009C51D6" w:rsidRDefault="009C51D6" w:rsidP="00654D10">
      <w:pPr>
        <w:pStyle w:val="Heading4"/>
      </w:pPr>
      <w:proofErr w:type="gramStart"/>
      <w:r>
        <w:t>design</w:t>
      </w:r>
      <w:proofErr w:type="gramEnd"/>
      <w:r>
        <w:t>-bid-construct</w:t>
      </w:r>
    </w:p>
    <w:p w:rsidR="00805E91" w:rsidRDefault="00805E91" w:rsidP="00654D10">
      <w:pPr>
        <w:pStyle w:val="Heading5"/>
      </w:pPr>
      <w:proofErr w:type="gramStart"/>
      <w:r>
        <w:t>owner</w:t>
      </w:r>
      <w:proofErr w:type="gramEnd"/>
      <w:r>
        <w:t xml:space="preserve"> contracts with architect to design and when design complete, contracts with a contractor to build, usually for a fixed price</w:t>
      </w:r>
    </w:p>
    <w:p w:rsidR="009C51D6" w:rsidRDefault="009C51D6" w:rsidP="00654D10">
      <w:pPr>
        <w:pStyle w:val="Heading5"/>
      </w:pPr>
      <w:proofErr w:type="gramStart"/>
      <w:r>
        <w:t>advantages</w:t>
      </w:r>
      <w:proofErr w:type="gramEnd"/>
      <w:r>
        <w:t>:  design is (should be) complete, so high(</w:t>
      </w:r>
      <w:proofErr w:type="spellStart"/>
      <w:r>
        <w:t>er</w:t>
      </w:r>
      <w:proofErr w:type="spellEnd"/>
      <w:r>
        <w:t>) cost certainty and few(</w:t>
      </w:r>
      <w:proofErr w:type="spellStart"/>
      <w:r>
        <w:t>er</w:t>
      </w:r>
      <w:proofErr w:type="spellEnd"/>
      <w:r>
        <w:t>) disputes; checks and balances between architect and contractor; familiarity</w:t>
      </w:r>
    </w:p>
    <w:p w:rsidR="009C51D6" w:rsidRDefault="009C51D6" w:rsidP="00654D10">
      <w:pPr>
        <w:pStyle w:val="Heading5"/>
      </w:pPr>
      <w:proofErr w:type="gramStart"/>
      <w:r>
        <w:t>risks</w:t>
      </w:r>
      <w:proofErr w:type="gramEnd"/>
      <w:r>
        <w:t xml:space="preserve">:  not as much of an opportunity for constructability reviews, value engineering, etc.; longer delivery timetable; claims experience; </w:t>
      </w:r>
    </w:p>
    <w:p w:rsidR="009C51D6" w:rsidRDefault="009C51D6" w:rsidP="00654D10">
      <w:pPr>
        <w:pStyle w:val="Heading4"/>
      </w:pPr>
      <w:proofErr w:type="gramStart"/>
      <w:r>
        <w:t>multiple</w:t>
      </w:r>
      <w:proofErr w:type="gramEnd"/>
      <w:r>
        <w:t xml:space="preserve"> primes (variant of design-bid-build)</w:t>
      </w:r>
    </w:p>
    <w:p w:rsidR="00D27BE7" w:rsidRDefault="009C51D6" w:rsidP="00654D10">
      <w:pPr>
        <w:pStyle w:val="Heading5"/>
      </w:pPr>
      <w:proofErr w:type="gramStart"/>
      <w:r>
        <w:t>instead</w:t>
      </w:r>
      <w:proofErr w:type="gramEnd"/>
      <w:r>
        <w:t xml:space="preserve"> of a single Owner-Contractor agreement, Owner contracts with multiple trades </w:t>
      </w:r>
      <w:r w:rsidR="00D27BE7">
        <w:t>as “prime contractors”</w:t>
      </w:r>
    </w:p>
    <w:p w:rsidR="00D27BE7" w:rsidRDefault="00D27BE7" w:rsidP="00654D10">
      <w:pPr>
        <w:pStyle w:val="Heading5"/>
      </w:pPr>
      <w:proofErr w:type="gramStart"/>
      <w:r>
        <w:t>advantages</w:t>
      </w:r>
      <w:proofErr w:type="gramEnd"/>
      <w:r>
        <w:t>:  increased cost competitiveness</w:t>
      </w:r>
    </w:p>
    <w:p w:rsidR="00D27BE7" w:rsidRDefault="00D27BE7" w:rsidP="00654D10">
      <w:pPr>
        <w:pStyle w:val="Heading5"/>
      </w:pPr>
      <w:proofErr w:type="gramStart"/>
      <w:r>
        <w:t>disadvantages</w:t>
      </w:r>
      <w:proofErr w:type="gramEnd"/>
      <w:r>
        <w:t xml:space="preserve">:  increased coordination responsibility (and contractual risk) on Owner; no single point of responsibility to owner for performance and completion of </w:t>
      </w:r>
      <w:proofErr w:type="spellStart"/>
      <w:r>
        <w:t>construciton</w:t>
      </w:r>
      <w:proofErr w:type="spellEnd"/>
    </w:p>
    <w:p w:rsidR="00D27BE7" w:rsidRDefault="00D27BE7" w:rsidP="00654D10">
      <w:pPr>
        <w:pStyle w:val="Heading4"/>
      </w:pPr>
      <w:proofErr w:type="gramStart"/>
      <w:r>
        <w:t>construction</w:t>
      </w:r>
      <w:proofErr w:type="gramEnd"/>
      <w:r>
        <w:t xml:space="preserve"> management – agency</w:t>
      </w:r>
    </w:p>
    <w:p w:rsidR="00D27BE7" w:rsidRDefault="00D27BE7" w:rsidP="00654D10">
      <w:pPr>
        <w:pStyle w:val="Heading5"/>
      </w:pPr>
      <w:r>
        <w:t>CM becomes consultant to owner</w:t>
      </w:r>
    </w:p>
    <w:p w:rsidR="00D27BE7" w:rsidRDefault="00D27BE7" w:rsidP="00654D10">
      <w:pPr>
        <w:pStyle w:val="Heading5"/>
      </w:pPr>
      <w:proofErr w:type="gramStart"/>
      <w:r>
        <w:t>essentially</w:t>
      </w:r>
      <w:proofErr w:type="gramEnd"/>
      <w:r>
        <w:t xml:space="preserve"> a variant of multiple primes, with the owner adding an advisor (the agent construction manager) to its team</w:t>
      </w:r>
    </w:p>
    <w:p w:rsidR="00D27BE7" w:rsidRDefault="00D27BE7" w:rsidP="00654D10">
      <w:pPr>
        <w:pStyle w:val="Heading5"/>
      </w:pPr>
      <w:proofErr w:type="gramStart"/>
      <w:r>
        <w:lastRenderedPageBreak/>
        <w:t>but</w:t>
      </w:r>
      <w:proofErr w:type="gramEnd"/>
      <w:r>
        <w:t xml:space="preserve"> Owner can retain construction manager earlier in the design process and thereby get CM input on constructability, value engineering, etc.</w:t>
      </w:r>
    </w:p>
    <w:p w:rsidR="00D27BE7" w:rsidRDefault="00D27BE7" w:rsidP="00654D10">
      <w:pPr>
        <w:pStyle w:val="Heading4"/>
      </w:pPr>
      <w:proofErr w:type="gramStart"/>
      <w:r>
        <w:t>construction</w:t>
      </w:r>
      <w:proofErr w:type="gramEnd"/>
      <w:r>
        <w:t xml:space="preserve"> management – at risk</w:t>
      </w:r>
    </w:p>
    <w:p w:rsidR="00D27BE7" w:rsidRDefault="00D27BE7" w:rsidP="00654D10">
      <w:pPr>
        <w:pStyle w:val="Heading5"/>
      </w:pPr>
      <w:proofErr w:type="gramStart"/>
      <w:r>
        <w:t>many</w:t>
      </w:r>
      <w:proofErr w:type="gramEnd"/>
      <w:r>
        <w:t xml:space="preserve"> commercial variants here – fixed price, cost plus a fee, cost plus a fee subject to a GMP</w:t>
      </w:r>
    </w:p>
    <w:p w:rsidR="00D27BE7" w:rsidRDefault="00805E91" w:rsidP="00654D10">
      <w:pPr>
        <w:pStyle w:val="Heading5"/>
      </w:pPr>
      <w:proofErr w:type="gramStart"/>
      <w:r>
        <w:t>major</w:t>
      </w:r>
      <w:proofErr w:type="gramEnd"/>
      <w:r>
        <w:t xml:space="preserve"> other difference from design-bid-build is owner can/should retain the construction manager earlier in the process (i.e., before design completed) for constructability review, cost estimating, scheduling and value engineering</w:t>
      </w:r>
    </w:p>
    <w:p w:rsidR="00805E91" w:rsidRDefault="00805E91" w:rsidP="00654D10">
      <w:pPr>
        <w:pStyle w:val="Heading4"/>
      </w:pPr>
      <w:proofErr w:type="gramStart"/>
      <w:r>
        <w:t>design</w:t>
      </w:r>
      <w:proofErr w:type="gramEnd"/>
      <w:r>
        <w:t>-build</w:t>
      </w:r>
    </w:p>
    <w:p w:rsidR="00805E91" w:rsidRDefault="00805E91" w:rsidP="00654D10">
      <w:pPr>
        <w:pStyle w:val="Heading5"/>
      </w:pPr>
      <w:proofErr w:type="gramStart"/>
      <w:r>
        <w:t>owner</w:t>
      </w:r>
      <w:proofErr w:type="gramEnd"/>
      <w:r>
        <w:t xml:space="preserve"> retains a single firm to both design and build project</w:t>
      </w:r>
    </w:p>
    <w:p w:rsidR="00805E91" w:rsidRDefault="00805E91" w:rsidP="00654D10">
      <w:pPr>
        <w:pStyle w:val="Heading5"/>
      </w:pPr>
      <w:proofErr w:type="gramStart"/>
      <w:r>
        <w:t>advantages</w:t>
      </w:r>
      <w:proofErr w:type="gramEnd"/>
      <w:r>
        <w:t>:  single point of responsibility for project; faster project delivery</w:t>
      </w:r>
    </w:p>
    <w:p w:rsidR="00805E91" w:rsidRDefault="00805E91" w:rsidP="00654D10">
      <w:pPr>
        <w:pStyle w:val="Heading5"/>
      </w:pPr>
      <w:proofErr w:type="gramStart"/>
      <w:r>
        <w:t>disadvantages</w:t>
      </w:r>
      <w:proofErr w:type="gramEnd"/>
      <w:r>
        <w:t>:  owner cedes control over project; greater responsibility for owner to accurately describe and define the desired project outcome early in the process; less cost predictability</w:t>
      </w:r>
    </w:p>
    <w:p w:rsidR="00AA7DDA" w:rsidRPr="00406F45" w:rsidRDefault="00406F45" w:rsidP="00C8511B">
      <w:pPr>
        <w:pStyle w:val="Heading1"/>
      </w:pPr>
      <w:r w:rsidRPr="00406F45">
        <w:t>Design Issues and Considerations</w:t>
      </w:r>
    </w:p>
    <w:p w:rsidR="00AA7DDA" w:rsidRPr="00136E56" w:rsidRDefault="00AA7DDA" w:rsidP="00C8511B">
      <w:pPr>
        <w:pStyle w:val="Heading2"/>
      </w:pPr>
      <w:r w:rsidRPr="00136E56">
        <w:t xml:space="preserve">Defining designer’s relationship with owner and its scope of services </w:t>
      </w:r>
    </w:p>
    <w:p w:rsidR="00AA7DDA" w:rsidRPr="00AA7DDA" w:rsidRDefault="00AA7DDA" w:rsidP="00654D10">
      <w:pPr>
        <w:pStyle w:val="Heading3"/>
      </w:pPr>
      <w:r w:rsidRPr="00AA7DDA">
        <w:t>Depend</w:t>
      </w:r>
      <w:r>
        <w:t>ent</w:t>
      </w:r>
      <w:r w:rsidRPr="00AA7DDA">
        <w:t xml:space="preserve"> on Project Delivery Method</w:t>
      </w:r>
      <w:r>
        <w:t xml:space="preserve"> – examine critical differences</w:t>
      </w:r>
    </w:p>
    <w:p w:rsidR="00AA7DDA" w:rsidRDefault="00AA7DDA" w:rsidP="00654D10">
      <w:pPr>
        <w:pStyle w:val="Heading4"/>
      </w:pPr>
      <w:r w:rsidRPr="00AA7DDA">
        <w:t>Tradition</w:t>
      </w:r>
      <w:r>
        <w:t>al design-bid-build</w:t>
      </w:r>
    </w:p>
    <w:p w:rsidR="00AA7DDA" w:rsidRDefault="00AA7DDA" w:rsidP="00654D10">
      <w:pPr>
        <w:pStyle w:val="Heading4"/>
      </w:pPr>
      <w:r>
        <w:t>Design-Build</w:t>
      </w:r>
    </w:p>
    <w:p w:rsidR="00AA7DDA" w:rsidRDefault="00AA7DDA" w:rsidP="00654D10">
      <w:pPr>
        <w:pStyle w:val="Heading4"/>
      </w:pPr>
      <w:r>
        <w:t>Construction Manager</w:t>
      </w:r>
    </w:p>
    <w:p w:rsidR="00AA7DDA" w:rsidRPr="00AA7DDA" w:rsidRDefault="00AA7DDA" w:rsidP="00654D10">
      <w:pPr>
        <w:pStyle w:val="Heading4"/>
      </w:pPr>
      <w:r>
        <w:t>Private Public Partnership</w:t>
      </w:r>
    </w:p>
    <w:p w:rsidR="00AA7DDA" w:rsidRPr="00267860" w:rsidRDefault="00AA7DDA" w:rsidP="00654D10">
      <w:pPr>
        <w:pStyle w:val="Heading3"/>
        <w:rPr>
          <w:u w:val="single"/>
        </w:rPr>
      </w:pPr>
      <w:r>
        <w:t>Based on type of project delivery method:</w:t>
      </w:r>
    </w:p>
    <w:p w:rsidR="00AA7DDA" w:rsidRPr="00136E56" w:rsidRDefault="00AA7DDA" w:rsidP="00654D10">
      <w:pPr>
        <w:pStyle w:val="Heading4"/>
        <w:rPr>
          <w:u w:val="single"/>
        </w:rPr>
      </w:pPr>
      <w:r w:rsidRPr="00267860">
        <w:t>Will designer be agent of owner?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t>Will designer be agent of contractor?</w:t>
      </w:r>
    </w:p>
    <w:p w:rsidR="00AA7DDA" w:rsidRDefault="00AA7DDA" w:rsidP="00654D10">
      <w:pPr>
        <w:pStyle w:val="Heading3"/>
      </w:pPr>
      <w:r w:rsidRPr="00267860">
        <w:t>Identify scope of services required from design team</w:t>
      </w:r>
    </w:p>
    <w:p w:rsidR="00C8533D" w:rsidRPr="00267860" w:rsidRDefault="00C8533D" w:rsidP="00C8533D">
      <w:pPr>
        <w:pStyle w:val="Heading3"/>
        <w:numPr>
          <w:ilvl w:val="0"/>
          <w:numId w:val="0"/>
        </w:numPr>
        <w:ind w:left="1627"/>
      </w:pPr>
    </w:p>
    <w:p w:rsidR="00AA7DDA" w:rsidRPr="00136E56" w:rsidRDefault="00AA7DDA" w:rsidP="00C8511B">
      <w:pPr>
        <w:pStyle w:val="Heading2"/>
      </w:pPr>
      <w:r w:rsidRPr="00136E56">
        <w:lastRenderedPageBreak/>
        <w:t xml:space="preserve">Defining </w:t>
      </w:r>
      <w:r>
        <w:t>p</w:t>
      </w:r>
      <w:r w:rsidRPr="00136E56">
        <w:t xml:space="preserve">roject </w:t>
      </w:r>
      <w:r>
        <w:t>s</w:t>
      </w:r>
      <w:r w:rsidRPr="00136E56">
        <w:t>cope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>Importance of accurately and thoroughly defining the scope of work included within the construction contract – including all timing and occupancy constraints</w:t>
      </w:r>
    </w:p>
    <w:p w:rsidR="00AA7DDA" w:rsidRPr="00136E56" w:rsidRDefault="00AA7DDA" w:rsidP="00C8511B">
      <w:pPr>
        <w:pStyle w:val="Heading2"/>
      </w:pPr>
      <w:r w:rsidRPr="00136E56">
        <w:t>Defining project budget</w:t>
      </w:r>
    </w:p>
    <w:p w:rsidR="00AA7DDA" w:rsidRPr="00267860" w:rsidRDefault="00AA7DDA" w:rsidP="00654D10">
      <w:pPr>
        <w:pStyle w:val="Heading3"/>
      </w:pPr>
      <w:r w:rsidRPr="00267860">
        <w:t>Understanding relationship between time and money</w:t>
      </w:r>
    </w:p>
    <w:p w:rsidR="00AA7DDA" w:rsidRPr="00267860" w:rsidRDefault="00AA7DDA" w:rsidP="00654D10">
      <w:pPr>
        <w:pStyle w:val="Heading3"/>
      </w:pPr>
      <w:proofErr w:type="gramStart"/>
      <w:r w:rsidRPr="00267860">
        <w:t>Owner responsibility and impact on budget?</w:t>
      </w:r>
      <w:proofErr w:type="gramEnd"/>
    </w:p>
    <w:p w:rsidR="00AA7DDA" w:rsidRPr="00267860" w:rsidRDefault="00AA7DDA" w:rsidP="00654D10">
      <w:pPr>
        <w:pStyle w:val="Heading3"/>
      </w:pPr>
      <w:proofErr w:type="gramStart"/>
      <w:r w:rsidRPr="00267860">
        <w:t>Designer responsibility and impact on budget?</w:t>
      </w:r>
      <w:proofErr w:type="gramEnd"/>
    </w:p>
    <w:p w:rsidR="00AA7DDA" w:rsidRPr="00267860" w:rsidRDefault="00AA7DDA" w:rsidP="00654D10">
      <w:pPr>
        <w:pStyle w:val="Heading3"/>
      </w:pPr>
      <w:r w:rsidRPr="00267860">
        <w:t>Owner’s obligation to pay for work once at negotiated price</w:t>
      </w:r>
    </w:p>
    <w:p w:rsidR="00AA7DDA" w:rsidRPr="00136E56" w:rsidRDefault="00AA7DDA" w:rsidP="00C8511B">
      <w:pPr>
        <w:pStyle w:val="Heading2"/>
      </w:pPr>
      <w:r w:rsidRPr="00136E56">
        <w:t>Impact of owner’s responsiveness to requests for decisions from design team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>Time and dollar considerations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 xml:space="preserve">Contract terms will require timely response by </w:t>
      </w:r>
      <w:r>
        <w:t>o</w:t>
      </w:r>
      <w:r w:rsidRPr="00267860">
        <w:t>wner</w:t>
      </w:r>
    </w:p>
    <w:p w:rsidR="00AA7DDA" w:rsidRPr="00136E56" w:rsidRDefault="00AA7DDA" w:rsidP="00C8511B">
      <w:pPr>
        <w:pStyle w:val="Heading2"/>
      </w:pPr>
      <w:r w:rsidRPr="00136E56">
        <w:t>Intellectual property issues related to the instruments of service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 xml:space="preserve">Defining </w:t>
      </w:r>
      <w:r>
        <w:t>i</w:t>
      </w:r>
      <w:r w:rsidRPr="00267860">
        <w:t xml:space="preserve">nstruments of </w:t>
      </w:r>
      <w:r>
        <w:t>s</w:t>
      </w:r>
      <w:r w:rsidRPr="00267860">
        <w:t>ervice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>What format are the plans to be in upon delivery?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 xml:space="preserve">What format will the plans be shared with: </w:t>
      </w:r>
    </w:p>
    <w:p w:rsidR="00AA7DDA" w:rsidRPr="00267860" w:rsidRDefault="00AA7DDA" w:rsidP="00654D10">
      <w:pPr>
        <w:pStyle w:val="Heading4"/>
        <w:rPr>
          <w:u w:val="single"/>
        </w:rPr>
      </w:pPr>
      <w:proofErr w:type="gramStart"/>
      <w:r w:rsidRPr="00267860">
        <w:t>the</w:t>
      </w:r>
      <w:proofErr w:type="gramEnd"/>
      <w:r w:rsidRPr="00267860">
        <w:t xml:space="preserve"> design team internally</w:t>
      </w:r>
    </w:p>
    <w:p w:rsidR="00AA7DDA" w:rsidRPr="00267860" w:rsidRDefault="00AA7DDA" w:rsidP="00654D10">
      <w:pPr>
        <w:pStyle w:val="Heading4"/>
        <w:rPr>
          <w:u w:val="single"/>
        </w:rPr>
      </w:pPr>
      <w:proofErr w:type="gramStart"/>
      <w:r w:rsidRPr="00267860">
        <w:t>the</w:t>
      </w:r>
      <w:proofErr w:type="gramEnd"/>
      <w:r w:rsidRPr="00267860">
        <w:t xml:space="preserve"> contractor </w:t>
      </w:r>
    </w:p>
    <w:p w:rsidR="00AA7DDA" w:rsidRPr="00267860" w:rsidRDefault="00AA7DDA" w:rsidP="00654D10">
      <w:pPr>
        <w:pStyle w:val="Heading4"/>
        <w:rPr>
          <w:u w:val="single"/>
        </w:rPr>
      </w:pPr>
      <w:proofErr w:type="gramStart"/>
      <w:r w:rsidRPr="00267860">
        <w:t>the</w:t>
      </w:r>
      <w:proofErr w:type="gramEnd"/>
      <w:r w:rsidRPr="00267860">
        <w:t xml:space="preserve"> owner for maintenance and operations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>Who owns the copyright to the instruments of service?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t>History of copyright for architectural works</w:t>
      </w:r>
    </w:p>
    <w:p w:rsidR="00AA7DDA" w:rsidRPr="00136E56" w:rsidRDefault="00AA7DDA" w:rsidP="00654D10">
      <w:pPr>
        <w:pStyle w:val="Heading5"/>
        <w:rPr>
          <w:u w:val="single"/>
        </w:rPr>
      </w:pPr>
      <w:r w:rsidRPr="00136E56">
        <w:rPr>
          <w:i/>
        </w:rPr>
        <w:t xml:space="preserve">Baker v. </w:t>
      </w:r>
      <w:proofErr w:type="spellStart"/>
      <w:r w:rsidRPr="00136E56">
        <w:rPr>
          <w:i/>
        </w:rPr>
        <w:t>Seldon</w:t>
      </w:r>
      <w:proofErr w:type="spellEnd"/>
      <w:r w:rsidRPr="00136E56">
        <w:rPr>
          <w:u w:val="single"/>
        </w:rPr>
        <w:t>,</w:t>
      </w:r>
      <w:r w:rsidRPr="00267860">
        <w:t xml:space="preserve"> 101 U.S. 99 (1879)</w:t>
      </w:r>
    </w:p>
    <w:p w:rsidR="00AA7DDA" w:rsidRPr="00267860" w:rsidRDefault="00AA7DDA" w:rsidP="00654D10">
      <w:pPr>
        <w:pStyle w:val="Heading5"/>
      </w:pPr>
      <w:proofErr w:type="spellStart"/>
      <w:r w:rsidRPr="00267860">
        <w:t>Schotz</w:t>
      </w:r>
      <w:proofErr w:type="spellEnd"/>
      <w:r w:rsidRPr="00267860">
        <w:t xml:space="preserve"> Homes, Inc. v. Maddox, 379 F.2d 84 (6th Cir. 1967)</w:t>
      </w:r>
    </w:p>
    <w:p w:rsidR="00AA7DDA" w:rsidRPr="00267860" w:rsidRDefault="00AA7DDA" w:rsidP="00654D10">
      <w:pPr>
        <w:pStyle w:val="Heading4"/>
      </w:pPr>
      <w:r w:rsidRPr="00267860">
        <w:t>Current national standard - Architectural Works Copyright Protection Act – AWCPA</w:t>
      </w:r>
      <w:r>
        <w:t xml:space="preserve">, </w:t>
      </w:r>
      <w:r w:rsidRPr="00267860">
        <w:t xml:space="preserve">17 U.S.C. § 101 </w:t>
      </w:r>
      <w:proofErr w:type="gramStart"/>
      <w:r w:rsidRPr="00267860">
        <w:t>et</w:t>
      </w:r>
      <w:proofErr w:type="gramEnd"/>
      <w:r w:rsidRPr="00267860">
        <w:t xml:space="preserve"> seq.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>Alternate ways of gaining access to and use of the instruments of service: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lastRenderedPageBreak/>
        <w:t xml:space="preserve">Licenses 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t>AIA forms</w:t>
      </w:r>
    </w:p>
    <w:p w:rsidR="00AA7DDA" w:rsidRPr="00267860" w:rsidRDefault="00AA7DDA" w:rsidP="00654D10">
      <w:pPr>
        <w:pStyle w:val="Heading3"/>
        <w:rPr>
          <w:u w:val="single"/>
        </w:rPr>
      </w:pPr>
      <w:r w:rsidRPr="00267860">
        <w:t>Implications of BIM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t>Financial implications of construction model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t>Financial implications of owner’s model for maintenance/operations</w:t>
      </w:r>
    </w:p>
    <w:p w:rsidR="00AA7DDA" w:rsidRPr="00267860" w:rsidRDefault="00AA7DDA" w:rsidP="00654D10">
      <w:pPr>
        <w:pStyle w:val="Heading4"/>
        <w:rPr>
          <w:u w:val="single"/>
        </w:rPr>
      </w:pPr>
      <w:r w:rsidRPr="00267860">
        <w:t>Management issues:</w:t>
      </w:r>
    </w:p>
    <w:p w:rsidR="00AA7DDA" w:rsidRPr="00267860" w:rsidRDefault="00AA7DDA" w:rsidP="00654D10">
      <w:pPr>
        <w:pStyle w:val="Heading5"/>
        <w:rPr>
          <w:u w:val="single"/>
        </w:rPr>
      </w:pPr>
      <w:r w:rsidRPr="00267860">
        <w:t>Who controls and manages the model?</w:t>
      </w:r>
    </w:p>
    <w:p w:rsidR="00AA7DDA" w:rsidRPr="00267860" w:rsidRDefault="00AA7DDA" w:rsidP="00654D10">
      <w:pPr>
        <w:pStyle w:val="Heading5"/>
        <w:rPr>
          <w:u w:val="single"/>
        </w:rPr>
      </w:pPr>
      <w:r w:rsidRPr="00267860">
        <w:t>Who is responsible for the coordination of the model?</w:t>
      </w:r>
    </w:p>
    <w:p w:rsidR="00AA7DDA" w:rsidRPr="00267860" w:rsidRDefault="00AA7DDA" w:rsidP="00654D10">
      <w:pPr>
        <w:pStyle w:val="Heading5"/>
        <w:rPr>
          <w:u w:val="single"/>
        </w:rPr>
      </w:pPr>
      <w:r w:rsidRPr="00267860">
        <w:t>Who is liable for the model – from design perspective?</w:t>
      </w:r>
    </w:p>
    <w:p w:rsidR="00AA7DDA" w:rsidRPr="00267860" w:rsidRDefault="00AA7DDA" w:rsidP="00654D10">
      <w:pPr>
        <w:pStyle w:val="Heading5"/>
        <w:rPr>
          <w:u w:val="single"/>
        </w:rPr>
      </w:pPr>
      <w:r w:rsidRPr="00267860">
        <w:t>Who is liable for the model – tech/hardware perspective?</w:t>
      </w:r>
    </w:p>
    <w:p w:rsidR="00AA7DDA" w:rsidRPr="00267860" w:rsidRDefault="00AA7DDA" w:rsidP="00C8511B">
      <w:pPr>
        <w:pStyle w:val="Heading2"/>
      </w:pPr>
      <w:r w:rsidRPr="00267860">
        <w:t xml:space="preserve">Defining authority of </w:t>
      </w:r>
      <w:r>
        <w:t>d</w:t>
      </w:r>
      <w:r w:rsidRPr="00267860">
        <w:t>esigner during construction phase</w:t>
      </w:r>
    </w:p>
    <w:p w:rsidR="00AA7DDA" w:rsidRPr="00267860" w:rsidRDefault="00AA7DDA" w:rsidP="00654D10">
      <w:pPr>
        <w:pStyle w:val="Heading3"/>
      </w:pPr>
      <w:r w:rsidRPr="00267860">
        <w:t>Defining “</w:t>
      </w:r>
      <w:r>
        <w:t>c</w:t>
      </w:r>
      <w:r w:rsidRPr="00267860">
        <w:t xml:space="preserve">onstruction administration” </w:t>
      </w:r>
    </w:p>
    <w:p w:rsidR="00AA7DDA" w:rsidRPr="00267860" w:rsidRDefault="00AA7DDA" w:rsidP="00654D10">
      <w:pPr>
        <w:pStyle w:val="Heading4"/>
      </w:pPr>
      <w:r w:rsidRPr="00267860">
        <w:t>Defining scope of services available during construction phase</w:t>
      </w:r>
    </w:p>
    <w:p w:rsidR="00AA7DDA" w:rsidRPr="00267860" w:rsidRDefault="00AA7DDA" w:rsidP="00654D10">
      <w:pPr>
        <w:pStyle w:val="Heading3"/>
      </w:pPr>
      <w:r w:rsidRPr="00267860">
        <w:t>Specifying role designer will play</w:t>
      </w:r>
    </w:p>
    <w:p w:rsidR="00AA7DDA" w:rsidRPr="00267860" w:rsidRDefault="00AA7DDA" w:rsidP="00654D10">
      <w:pPr>
        <w:pStyle w:val="Heading3"/>
      </w:pPr>
      <w:r w:rsidRPr="00267860">
        <w:t xml:space="preserve">Understanding financial and practical implications to </w:t>
      </w:r>
      <w:r>
        <w:t>o</w:t>
      </w:r>
      <w:r w:rsidRPr="00267860">
        <w:t>wner of contracting for design services through construction administration</w:t>
      </w:r>
    </w:p>
    <w:p w:rsidR="00AA7DDA" w:rsidRPr="00267860" w:rsidRDefault="00AA7DDA" w:rsidP="00654D10">
      <w:pPr>
        <w:pStyle w:val="Heading3"/>
      </w:pPr>
      <w:proofErr w:type="gramStart"/>
      <w:r w:rsidRPr="00267860">
        <w:t>Evaluator of project disputes?</w:t>
      </w:r>
      <w:proofErr w:type="gramEnd"/>
    </w:p>
    <w:p w:rsidR="00805E91" w:rsidRPr="00805E91" w:rsidRDefault="00805E91" w:rsidP="00C8511B">
      <w:pPr>
        <w:pStyle w:val="Heading1"/>
      </w:pPr>
      <w:r w:rsidRPr="00482561">
        <w:t xml:space="preserve">Owner’s </w:t>
      </w:r>
      <w:r w:rsidR="00482561">
        <w:t>P</w:t>
      </w:r>
      <w:r w:rsidRPr="00482561">
        <w:t xml:space="preserve">roject </w:t>
      </w:r>
      <w:r w:rsidR="00482561">
        <w:t>C</w:t>
      </w:r>
      <w:r w:rsidRPr="00482561">
        <w:t>ontrol</w:t>
      </w:r>
      <w:r w:rsidR="00482561">
        <w:t>s</w:t>
      </w:r>
      <w:r w:rsidRPr="00482561">
        <w:t xml:space="preserve"> </w:t>
      </w:r>
      <w:r w:rsidR="00482561">
        <w:t>and Project Management</w:t>
      </w:r>
    </w:p>
    <w:p w:rsidR="00805E91" w:rsidRPr="00805E91" w:rsidRDefault="00482561" w:rsidP="00C8511B">
      <w:pPr>
        <w:pStyle w:val="Heading2"/>
      </w:pPr>
      <w:r>
        <w:t>P</w:t>
      </w:r>
      <w:r w:rsidR="00805E91" w:rsidRPr="00805E91">
        <w:t xml:space="preserve">roject </w:t>
      </w:r>
      <w:r>
        <w:t>C</w:t>
      </w:r>
      <w:r w:rsidR="00805E91" w:rsidRPr="00805E91">
        <w:t>ontrols</w:t>
      </w:r>
    </w:p>
    <w:p w:rsidR="00805E91" w:rsidRDefault="00482561" w:rsidP="00654D10">
      <w:pPr>
        <w:pStyle w:val="Heading3"/>
      </w:pPr>
      <w:proofErr w:type="gramStart"/>
      <w:r>
        <w:t>impact</w:t>
      </w:r>
      <w:proofErr w:type="gramEnd"/>
      <w:r>
        <w:t xml:space="preserve"> schedule, change management, </w:t>
      </w:r>
      <w:r w:rsidR="00805E91" w:rsidRPr="00805E91">
        <w:t>payment applications and documentation and pricing of changes and documentation of changes</w:t>
      </w:r>
    </w:p>
    <w:p w:rsidR="00482561" w:rsidRPr="00805E91" w:rsidRDefault="00482561" w:rsidP="00654D10">
      <w:pPr>
        <w:pStyle w:val="Heading4"/>
      </w:pPr>
      <w:proofErr w:type="gramStart"/>
      <w:r>
        <w:t>e</w:t>
      </w:r>
      <w:proofErr w:type="gramEnd"/>
      <w:r>
        <w:t>.g., c</w:t>
      </w:r>
      <w:r w:rsidRPr="00805E91">
        <w:t xml:space="preserve">laims releases </w:t>
      </w:r>
      <w:r>
        <w:t xml:space="preserve">need </w:t>
      </w:r>
      <w:r w:rsidRPr="00805E91">
        <w:t>included from contractors with each payment application</w:t>
      </w:r>
    </w:p>
    <w:p w:rsidR="00482561" w:rsidRPr="00805E91" w:rsidRDefault="00482561" w:rsidP="00654D10">
      <w:pPr>
        <w:pStyle w:val="Heading4"/>
      </w:pPr>
      <w:proofErr w:type="gramStart"/>
      <w:r>
        <w:t>what</w:t>
      </w:r>
      <w:proofErr w:type="gramEnd"/>
      <w:r>
        <w:t xml:space="preserve"> kind of reporting does the constructor owe to the owner and on what basis (weekly, monthly?, bi-monthly?)</w:t>
      </w:r>
    </w:p>
    <w:p w:rsidR="00805E91" w:rsidRPr="00805E91" w:rsidRDefault="00805E91" w:rsidP="00654D10">
      <w:pPr>
        <w:pStyle w:val="Heading3"/>
      </w:pPr>
      <w:r w:rsidRPr="00805E91">
        <w:lastRenderedPageBreak/>
        <w:t>Owner needs to make sure that Owner’s internal project controls process has been thought through/established and that everyone within the Owner organization (or on the Owner team) understands and can operate within the project controls</w:t>
      </w:r>
    </w:p>
    <w:p w:rsidR="00805E91" w:rsidRPr="00805E91" w:rsidRDefault="00482561" w:rsidP="00654D10">
      <w:pPr>
        <w:pStyle w:val="Heading4"/>
      </w:pPr>
      <w:r>
        <w:t xml:space="preserve">Contract provisions must support/conform with owner’s intended </w:t>
      </w:r>
      <w:r w:rsidR="00805E91" w:rsidRPr="00805E91">
        <w:t>project controls procedure</w:t>
      </w:r>
    </w:p>
    <w:p w:rsidR="00805E91" w:rsidRPr="00805E91" w:rsidRDefault="00482561" w:rsidP="00654D10">
      <w:pPr>
        <w:pStyle w:val="Heading4"/>
      </w:pPr>
      <w:r>
        <w:t>M</w:t>
      </w:r>
      <w:r w:rsidR="00805E91" w:rsidRPr="00805E91">
        <w:t xml:space="preserve">ake sure that </w:t>
      </w:r>
      <w:r>
        <w:t xml:space="preserve">owner personnel </w:t>
      </w:r>
      <w:r w:rsidR="00805E91" w:rsidRPr="00805E91">
        <w:t xml:space="preserve">adhere to the project controls procedures </w:t>
      </w:r>
      <w:r>
        <w:t>– and demand that the constructor(s) do so too – in the con</w:t>
      </w:r>
      <w:r w:rsidR="00805E91" w:rsidRPr="00805E91">
        <w:t>struction</w:t>
      </w:r>
      <w:r>
        <w:t xml:space="preserve"> phase</w:t>
      </w:r>
    </w:p>
    <w:p w:rsidR="00805E91" w:rsidRPr="00805E91" w:rsidRDefault="00482561" w:rsidP="00654D10">
      <w:pPr>
        <w:pStyle w:val="Heading2"/>
      </w:pPr>
      <w:r>
        <w:t>P</w:t>
      </w:r>
      <w:r w:rsidR="00805E91" w:rsidRPr="00805E91">
        <w:t xml:space="preserve">roject </w:t>
      </w:r>
      <w:r>
        <w:t>M</w:t>
      </w:r>
      <w:r w:rsidR="00805E91" w:rsidRPr="00805E91">
        <w:t xml:space="preserve">anagement </w:t>
      </w:r>
    </w:p>
    <w:p w:rsidR="00805E91" w:rsidRPr="00805E91" w:rsidRDefault="00805E91" w:rsidP="00654D10">
      <w:pPr>
        <w:pStyle w:val="Heading3"/>
      </w:pPr>
      <w:r w:rsidRPr="00805E91">
        <w:t xml:space="preserve">For a project of any significant size/scope, Owner needs to have internal construction management expertise or have contracted “owner’s rep/project management.”  Principle responsibilities include: </w:t>
      </w:r>
    </w:p>
    <w:p w:rsidR="00805E91" w:rsidRPr="00805E91" w:rsidRDefault="00805E91" w:rsidP="00654D10">
      <w:pPr>
        <w:pStyle w:val="Heading4"/>
      </w:pPr>
      <w:proofErr w:type="gramStart"/>
      <w:r w:rsidRPr="00805E91">
        <w:t>representing</w:t>
      </w:r>
      <w:proofErr w:type="gramEnd"/>
      <w:r w:rsidRPr="00805E91">
        <w:t xml:space="preserve"> owner in regular job meetings, in translating owner requests and requirements into the work itself (and working within the owner organization to “reality-test” owner expectations and requirements</w:t>
      </w:r>
    </w:p>
    <w:p w:rsidR="00482561" w:rsidRDefault="00805E91" w:rsidP="00654D10">
      <w:pPr>
        <w:pStyle w:val="Heading4"/>
      </w:pPr>
      <w:proofErr w:type="gramStart"/>
      <w:r w:rsidRPr="00805E91">
        <w:t>review</w:t>
      </w:r>
      <w:proofErr w:type="gramEnd"/>
      <w:r w:rsidRPr="00805E91">
        <w:t xml:space="preserve"> and approval (or rejection) of payment applications (in consultation/coordination with the project controls folks) </w:t>
      </w:r>
    </w:p>
    <w:p w:rsidR="00805E91" w:rsidRPr="00805E91" w:rsidRDefault="00482561" w:rsidP="00654D10">
      <w:pPr>
        <w:pStyle w:val="Heading5"/>
      </w:pPr>
      <w:proofErr w:type="gramStart"/>
      <w:r>
        <w:t>this</w:t>
      </w:r>
      <w:proofErr w:type="gramEnd"/>
      <w:r>
        <w:t xml:space="preserve"> sometimes is the </w:t>
      </w:r>
      <w:r w:rsidR="00805E91" w:rsidRPr="00805E91">
        <w:t xml:space="preserve">role of </w:t>
      </w:r>
      <w:r>
        <w:t xml:space="preserve">the </w:t>
      </w:r>
      <w:r w:rsidR="00805E91" w:rsidRPr="00805E91">
        <w:t>design professional here?)</w:t>
      </w:r>
    </w:p>
    <w:p w:rsidR="00805E91" w:rsidRPr="00805E91" w:rsidRDefault="00805E91" w:rsidP="00654D10">
      <w:pPr>
        <w:pStyle w:val="Heading4"/>
      </w:pPr>
      <w:proofErr w:type="gramStart"/>
      <w:r w:rsidRPr="00805E91">
        <w:t>estimation</w:t>
      </w:r>
      <w:proofErr w:type="gramEnd"/>
      <w:r w:rsidRPr="00805E91">
        <w:t xml:space="preserve"> or confirmation of % progress on Project, and satisfactory (or not) nature of the work</w:t>
      </w:r>
    </w:p>
    <w:p w:rsidR="00805E91" w:rsidRPr="00805E91" w:rsidRDefault="00805E91" w:rsidP="00654D10">
      <w:pPr>
        <w:pStyle w:val="Heading4"/>
      </w:pPr>
      <w:proofErr w:type="gramStart"/>
      <w:r w:rsidRPr="00805E91">
        <w:t>cash</w:t>
      </w:r>
      <w:proofErr w:type="gramEnd"/>
      <w:r w:rsidRPr="00805E91">
        <w:t xml:space="preserve"> flow – Owner must pay for undisputed work</w:t>
      </w:r>
    </w:p>
    <w:p w:rsidR="00C20607" w:rsidRDefault="00805E91" w:rsidP="00654D10">
      <w:pPr>
        <w:pStyle w:val="Heading4"/>
      </w:pPr>
      <w:proofErr w:type="gramStart"/>
      <w:r w:rsidRPr="00805E91">
        <w:t>does</w:t>
      </w:r>
      <w:proofErr w:type="gramEnd"/>
      <w:r w:rsidRPr="00805E91">
        <w:t xml:space="preserve"> contractor have the right to walk for non-payment?</w:t>
      </w:r>
    </w:p>
    <w:p w:rsidR="00C20607" w:rsidRDefault="00805E91" w:rsidP="00654D10">
      <w:pPr>
        <w:pStyle w:val="Heading4"/>
      </w:pPr>
      <w:proofErr w:type="gramStart"/>
      <w:r w:rsidRPr="00C20607">
        <w:t>deal</w:t>
      </w:r>
      <w:proofErr w:type="gramEnd"/>
      <w:r w:rsidRPr="00C20607">
        <w:t xml:space="preserve"> with disagreements and disputes as promptly as possible (but certainly at least as promptly as required by the contract documents)</w:t>
      </w:r>
    </w:p>
    <w:p w:rsidR="00AA7DDA" w:rsidRPr="00C20607" w:rsidRDefault="00AA7DDA" w:rsidP="00654D10">
      <w:pPr>
        <w:pStyle w:val="Heading1"/>
      </w:pPr>
      <w:r w:rsidRPr="00C20607">
        <w:t xml:space="preserve">Allocation of Risk </w:t>
      </w:r>
    </w:p>
    <w:p w:rsidR="00AA7DDA" w:rsidRPr="00136E56" w:rsidRDefault="00AA7DDA" w:rsidP="00654D10">
      <w:pPr>
        <w:pStyle w:val="Heading2"/>
      </w:pPr>
      <w:r w:rsidRPr="00136E56">
        <w:t>Issues of frequent concern arising between owner/contractor</w:t>
      </w:r>
    </w:p>
    <w:p w:rsidR="00AA7DDA" w:rsidRPr="00267860" w:rsidRDefault="00AA7DDA" w:rsidP="00654D10">
      <w:pPr>
        <w:pStyle w:val="Heading3"/>
      </w:pPr>
      <w:r w:rsidRPr="00267860">
        <w:t>Construct</w:t>
      </w:r>
      <w:r>
        <w:t>a</w:t>
      </w:r>
      <w:r w:rsidRPr="00267860">
        <w:t xml:space="preserve">bility of plans </w:t>
      </w:r>
      <w:proofErr w:type="gramStart"/>
      <w:r w:rsidRPr="00267860">
        <w:t xml:space="preserve">–  </w:t>
      </w:r>
      <w:r w:rsidRPr="00267860">
        <w:rPr>
          <w:i/>
        </w:rPr>
        <w:t>U.S</w:t>
      </w:r>
      <w:proofErr w:type="gramEnd"/>
      <w:r w:rsidRPr="00267860">
        <w:rPr>
          <w:i/>
        </w:rPr>
        <w:t xml:space="preserve">. v. </w:t>
      </w:r>
      <w:proofErr w:type="spellStart"/>
      <w:r w:rsidRPr="00267860">
        <w:rPr>
          <w:i/>
        </w:rPr>
        <w:t>Spearin</w:t>
      </w:r>
      <w:proofErr w:type="spellEnd"/>
      <w:r w:rsidRPr="00267860">
        <w:t xml:space="preserve">, 248 U.S. 132 (1918) </w:t>
      </w:r>
    </w:p>
    <w:p w:rsidR="00AA7DDA" w:rsidRPr="00267860" w:rsidRDefault="00AA7DDA" w:rsidP="00654D10">
      <w:pPr>
        <w:pStyle w:val="Heading4"/>
      </w:pPr>
      <w:r w:rsidRPr="00267860">
        <w:t>Owner warrants constructability of plans when it or its agent designer presents plans for construction</w:t>
      </w:r>
    </w:p>
    <w:p w:rsidR="00AA7DDA" w:rsidRPr="00267860" w:rsidRDefault="00AA7DDA" w:rsidP="00654D10">
      <w:pPr>
        <w:pStyle w:val="Heading4"/>
      </w:pPr>
      <w:r w:rsidRPr="00267860">
        <w:lastRenderedPageBreak/>
        <w:t>Contractor not liable for design issues</w:t>
      </w:r>
    </w:p>
    <w:p w:rsidR="00AA7DDA" w:rsidRDefault="00AA7DDA" w:rsidP="00654D10">
      <w:pPr>
        <w:pStyle w:val="Heading4"/>
      </w:pPr>
      <w:r w:rsidRPr="00267860">
        <w:t>Owner’s practical considerations in view of this obligation</w:t>
      </w:r>
    </w:p>
    <w:p w:rsidR="00AA7DDA" w:rsidRDefault="00AA7DDA" w:rsidP="00AA7DDA">
      <w:pPr>
        <w:pStyle w:val="ListParagraph"/>
      </w:pPr>
    </w:p>
    <w:p w:rsidR="00C8511B" w:rsidRDefault="00C8511B"/>
    <w:sectPr w:rsidR="00C8511B" w:rsidSect="00F57C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5D" w:rsidRDefault="00736A5D" w:rsidP="00AA7DDA">
      <w:r>
        <w:separator/>
      </w:r>
    </w:p>
  </w:endnote>
  <w:endnote w:type="continuationSeparator" w:id="0">
    <w:p w:rsidR="00736A5D" w:rsidRDefault="00736A5D" w:rsidP="00AA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5D" w:rsidRDefault="00736A5D" w:rsidP="00AA7DDA">
      <w:r>
        <w:separator/>
      </w:r>
    </w:p>
  </w:footnote>
  <w:footnote w:type="continuationSeparator" w:id="0">
    <w:p w:rsidR="00736A5D" w:rsidRDefault="00736A5D" w:rsidP="00AA7D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DA" w:rsidRDefault="00AA7DDA">
    <w:pPr>
      <w:pStyle w:val="Header"/>
    </w:pPr>
  </w:p>
  <w:p w:rsidR="00AA7DDA" w:rsidRDefault="00AA7DDA">
    <w:pPr>
      <w:pStyle w:val="Header"/>
    </w:pPr>
  </w:p>
  <w:p w:rsidR="00AA7DDA" w:rsidRDefault="00AA7DDA">
    <w:pPr>
      <w:pStyle w:val="Header"/>
    </w:pPr>
  </w:p>
  <w:p w:rsidR="00AA7DDA" w:rsidRDefault="00AA7D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7A"/>
    <w:multiLevelType w:val="hybridMultilevel"/>
    <w:tmpl w:val="941C7856"/>
    <w:lvl w:ilvl="0" w:tplc="7EB41D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ABC378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2BE15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9F40FC54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308A532">
      <w:start w:val="1"/>
      <w:numFmt w:val="lowerRoman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DA6232"/>
    <w:multiLevelType w:val="hybridMultilevel"/>
    <w:tmpl w:val="E0A26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C045B"/>
    <w:multiLevelType w:val="multilevel"/>
    <w:tmpl w:val="9FFAE16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right"/>
      <w:pPr>
        <w:tabs>
          <w:tab w:val="num" w:pos="0"/>
        </w:tabs>
        <w:ind w:left="2174" w:hanging="54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79174D2"/>
    <w:multiLevelType w:val="hybridMultilevel"/>
    <w:tmpl w:val="F65239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</w:docVars>
  <w:rsids>
    <w:rsidRoot w:val="00AA7DDA"/>
    <w:rsid w:val="00107A4B"/>
    <w:rsid w:val="00256911"/>
    <w:rsid w:val="00406F45"/>
    <w:rsid w:val="00482561"/>
    <w:rsid w:val="005D5C84"/>
    <w:rsid w:val="00601B63"/>
    <w:rsid w:val="00654D10"/>
    <w:rsid w:val="006F715D"/>
    <w:rsid w:val="00736A5D"/>
    <w:rsid w:val="00781C6D"/>
    <w:rsid w:val="00805E91"/>
    <w:rsid w:val="008F0987"/>
    <w:rsid w:val="009C51D6"/>
    <w:rsid w:val="00A2260C"/>
    <w:rsid w:val="00A468F8"/>
    <w:rsid w:val="00AA7DDA"/>
    <w:rsid w:val="00C20607"/>
    <w:rsid w:val="00C8511B"/>
    <w:rsid w:val="00C8533D"/>
    <w:rsid w:val="00CD6286"/>
    <w:rsid w:val="00D27BE7"/>
    <w:rsid w:val="00DD18E7"/>
    <w:rsid w:val="00E95D61"/>
    <w:rsid w:val="00F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511B"/>
    <w:pPr>
      <w:numPr>
        <w:numId w:val="4"/>
      </w:numPr>
      <w:tabs>
        <w:tab w:val="clear" w:pos="0"/>
        <w:tab w:val="left" w:pos="720"/>
      </w:tabs>
      <w:spacing w:after="240"/>
      <w:outlineLvl w:val="0"/>
    </w:pPr>
    <w:rPr>
      <w:rFonts w:eastAsiaTheme="majorEastAsia"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8511B"/>
    <w:pPr>
      <w:numPr>
        <w:ilvl w:val="1"/>
        <w:numId w:val="4"/>
      </w:numPr>
      <w:tabs>
        <w:tab w:val="clear" w:pos="0"/>
        <w:tab w:val="left" w:pos="1440"/>
      </w:tabs>
      <w:spacing w:after="240"/>
      <w:outlineLvl w:val="1"/>
    </w:pPr>
    <w:rPr>
      <w:rFonts w:eastAsiaTheme="majorEastAsia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8511B"/>
    <w:pPr>
      <w:numPr>
        <w:ilvl w:val="2"/>
        <w:numId w:val="4"/>
      </w:numPr>
      <w:tabs>
        <w:tab w:val="clear" w:pos="0"/>
        <w:tab w:val="left" w:pos="2160"/>
      </w:tabs>
      <w:spacing w:after="240"/>
      <w:outlineLvl w:val="2"/>
    </w:pPr>
    <w:rPr>
      <w:rFonts w:eastAsiaTheme="majorEastAsia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8511B"/>
    <w:pPr>
      <w:numPr>
        <w:ilvl w:val="3"/>
        <w:numId w:val="4"/>
      </w:numPr>
      <w:tabs>
        <w:tab w:val="clear" w:pos="0"/>
        <w:tab w:val="left" w:pos="2880"/>
      </w:tabs>
      <w:spacing w:after="240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8511B"/>
    <w:pPr>
      <w:numPr>
        <w:ilvl w:val="4"/>
        <w:numId w:val="4"/>
      </w:numPr>
      <w:tabs>
        <w:tab w:val="clear" w:pos="0"/>
        <w:tab w:val="left" w:pos="3600"/>
      </w:tabs>
      <w:spacing w:before="240" w:after="60"/>
      <w:outlineLvl w:val="4"/>
    </w:pPr>
    <w:rPr>
      <w:rFonts w:eastAsiaTheme="majorEastAsia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C8511B"/>
    <w:pPr>
      <w:numPr>
        <w:ilvl w:val="5"/>
        <w:numId w:val="4"/>
      </w:numPr>
      <w:tabs>
        <w:tab w:val="clear" w:pos="0"/>
      </w:tabs>
      <w:spacing w:before="240" w:after="60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C8511B"/>
    <w:pPr>
      <w:numPr>
        <w:ilvl w:val="6"/>
        <w:numId w:val="4"/>
      </w:numPr>
      <w:tabs>
        <w:tab w:val="clear" w:pos="0"/>
      </w:tabs>
      <w:spacing w:before="240" w:after="60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C8511B"/>
    <w:pPr>
      <w:numPr>
        <w:ilvl w:val="7"/>
        <w:numId w:val="4"/>
      </w:numPr>
      <w:tabs>
        <w:tab w:val="clear" w:pos="0"/>
      </w:tabs>
      <w:spacing w:before="240" w:after="60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C8511B"/>
    <w:pPr>
      <w:numPr>
        <w:ilvl w:val="8"/>
        <w:numId w:val="4"/>
      </w:numPr>
      <w:tabs>
        <w:tab w:val="clear" w:pos="0"/>
      </w:tabs>
      <w:spacing w:before="240" w:after="60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18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99"/>
    <w:qFormat/>
    <w:rsid w:val="00AA7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DD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A2260C"/>
    <w:pPr>
      <w:spacing w:after="240"/>
      <w:ind w:firstLine="1440"/>
    </w:pPr>
    <w:rPr>
      <w:sz w:val="25"/>
    </w:rPr>
  </w:style>
  <w:style w:type="character" w:customStyle="1" w:styleId="Heading1Char">
    <w:name w:val="Heading 1 Char"/>
    <w:basedOn w:val="DefaultParagraphFont"/>
    <w:link w:val="Heading1"/>
    <w:uiPriority w:val="9"/>
    <w:rsid w:val="00C8511B"/>
    <w:rPr>
      <w:rFonts w:ascii="Times New Roman" w:eastAsiaTheme="majorEastAsia" w:hAnsi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11B"/>
    <w:rPr>
      <w:rFonts w:ascii="Times New Roman" w:eastAsiaTheme="majorEastAsia" w:hAnsi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511B"/>
    <w:rPr>
      <w:rFonts w:ascii="Times New Roman" w:eastAsiaTheme="majorEastAsia" w:hAnsi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511B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11B"/>
    <w:rPr>
      <w:rFonts w:ascii="Times New Roman" w:eastAsiaTheme="majorEastAsia" w:hAnsi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11B"/>
    <w:rPr>
      <w:rFonts w:ascii="Times New Roman" w:eastAsiaTheme="majorEastAsia" w:hAnsi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11B"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11B"/>
    <w:rPr>
      <w:rFonts w:ascii="Times New Roman" w:eastAsiaTheme="majorEastAsia" w:hAnsi="Times New Roman" w:cs="Times New Roman"/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1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511B"/>
    <w:pPr>
      <w:numPr>
        <w:numId w:val="4"/>
      </w:numPr>
      <w:tabs>
        <w:tab w:val="clear" w:pos="0"/>
        <w:tab w:val="left" w:pos="720"/>
      </w:tabs>
      <w:spacing w:after="240"/>
      <w:outlineLvl w:val="0"/>
    </w:pPr>
    <w:rPr>
      <w:rFonts w:eastAsiaTheme="majorEastAsia"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8511B"/>
    <w:pPr>
      <w:numPr>
        <w:ilvl w:val="1"/>
        <w:numId w:val="4"/>
      </w:numPr>
      <w:tabs>
        <w:tab w:val="clear" w:pos="0"/>
        <w:tab w:val="left" w:pos="1440"/>
      </w:tabs>
      <w:spacing w:after="240"/>
      <w:outlineLvl w:val="1"/>
    </w:pPr>
    <w:rPr>
      <w:rFonts w:eastAsiaTheme="majorEastAsia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8511B"/>
    <w:pPr>
      <w:numPr>
        <w:ilvl w:val="2"/>
        <w:numId w:val="4"/>
      </w:numPr>
      <w:tabs>
        <w:tab w:val="clear" w:pos="0"/>
        <w:tab w:val="left" w:pos="2160"/>
      </w:tabs>
      <w:spacing w:after="240"/>
      <w:outlineLvl w:val="2"/>
    </w:pPr>
    <w:rPr>
      <w:rFonts w:eastAsiaTheme="majorEastAsia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8511B"/>
    <w:pPr>
      <w:numPr>
        <w:ilvl w:val="3"/>
        <w:numId w:val="4"/>
      </w:numPr>
      <w:tabs>
        <w:tab w:val="clear" w:pos="0"/>
        <w:tab w:val="left" w:pos="2880"/>
      </w:tabs>
      <w:spacing w:after="240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8511B"/>
    <w:pPr>
      <w:numPr>
        <w:ilvl w:val="4"/>
        <w:numId w:val="4"/>
      </w:numPr>
      <w:tabs>
        <w:tab w:val="clear" w:pos="0"/>
        <w:tab w:val="left" w:pos="3600"/>
      </w:tabs>
      <w:spacing w:before="240" w:after="60"/>
      <w:outlineLvl w:val="4"/>
    </w:pPr>
    <w:rPr>
      <w:rFonts w:eastAsiaTheme="majorEastAsia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C8511B"/>
    <w:pPr>
      <w:numPr>
        <w:ilvl w:val="5"/>
        <w:numId w:val="4"/>
      </w:numPr>
      <w:tabs>
        <w:tab w:val="clear" w:pos="0"/>
      </w:tabs>
      <w:spacing w:before="240" w:after="60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C8511B"/>
    <w:pPr>
      <w:numPr>
        <w:ilvl w:val="6"/>
        <w:numId w:val="4"/>
      </w:numPr>
      <w:tabs>
        <w:tab w:val="clear" w:pos="0"/>
      </w:tabs>
      <w:spacing w:before="240" w:after="60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C8511B"/>
    <w:pPr>
      <w:numPr>
        <w:ilvl w:val="7"/>
        <w:numId w:val="4"/>
      </w:numPr>
      <w:tabs>
        <w:tab w:val="clear" w:pos="0"/>
      </w:tabs>
      <w:spacing w:before="240" w:after="60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C8511B"/>
    <w:pPr>
      <w:numPr>
        <w:ilvl w:val="8"/>
        <w:numId w:val="4"/>
      </w:numPr>
      <w:tabs>
        <w:tab w:val="clear" w:pos="0"/>
      </w:tabs>
      <w:spacing w:before="240" w:after="60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18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99"/>
    <w:qFormat/>
    <w:rsid w:val="00AA7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DD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A2260C"/>
    <w:pPr>
      <w:spacing w:after="240"/>
      <w:ind w:firstLine="1440"/>
    </w:pPr>
    <w:rPr>
      <w:sz w:val="25"/>
    </w:rPr>
  </w:style>
  <w:style w:type="character" w:customStyle="1" w:styleId="Heading1Char">
    <w:name w:val="Heading 1 Char"/>
    <w:basedOn w:val="DefaultParagraphFont"/>
    <w:link w:val="Heading1"/>
    <w:uiPriority w:val="9"/>
    <w:rsid w:val="00C8511B"/>
    <w:rPr>
      <w:rFonts w:ascii="Times New Roman" w:eastAsiaTheme="majorEastAsia" w:hAnsi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11B"/>
    <w:rPr>
      <w:rFonts w:ascii="Times New Roman" w:eastAsiaTheme="majorEastAsia" w:hAnsi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511B"/>
    <w:rPr>
      <w:rFonts w:ascii="Times New Roman" w:eastAsiaTheme="majorEastAsia" w:hAnsi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511B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11B"/>
    <w:rPr>
      <w:rFonts w:ascii="Times New Roman" w:eastAsiaTheme="majorEastAsia" w:hAnsi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11B"/>
    <w:rPr>
      <w:rFonts w:ascii="Times New Roman" w:eastAsiaTheme="majorEastAsia" w:hAnsi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11B"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11B"/>
    <w:rPr>
      <w:rFonts w:ascii="Times New Roman" w:eastAsiaTheme="majorEastAsia" w:hAnsi="Times New Roman" w:cs="Times New Roman"/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1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1151</Words>
  <Characters>6564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Stevens &amp; Lee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Dave Owen</cp:lastModifiedBy>
  <cp:revision>2</cp:revision>
  <dcterms:created xsi:type="dcterms:W3CDTF">2012-10-08T12:23:00Z</dcterms:created>
  <dcterms:modified xsi:type="dcterms:W3CDTF">2012-10-08T12:23:00Z</dcterms:modified>
</cp:coreProperties>
</file>